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41845725"/>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B22BA2" w:rsidRDefault="00B22BA2" w:rsidP="00B22BA2">
          <w:pPr>
            <w:pStyle w:val="TtulodeTDC"/>
            <w:jc w:val="center"/>
            <w:rPr>
              <w:rFonts w:ascii="Arial" w:hAnsi="Arial" w:cs="Arial"/>
              <w:sz w:val="36"/>
              <w:szCs w:val="36"/>
              <w:lang w:val="es-ES"/>
            </w:rPr>
          </w:pPr>
          <w:r w:rsidRPr="00B22BA2">
            <w:rPr>
              <w:rFonts w:ascii="Arial" w:hAnsi="Arial" w:cs="Arial"/>
              <w:sz w:val="36"/>
              <w:szCs w:val="36"/>
              <w:lang w:val="es-ES"/>
            </w:rPr>
            <w:t>CONTENIDO</w:t>
          </w:r>
        </w:p>
        <w:p w:rsidR="00B22BA2" w:rsidRPr="00B22BA2" w:rsidRDefault="00B22BA2" w:rsidP="00B22BA2">
          <w:pPr>
            <w:rPr>
              <w:lang w:eastAsia="es-MX"/>
            </w:rPr>
          </w:pPr>
        </w:p>
        <w:p w:rsidR="009959EE" w:rsidRPr="009959EE" w:rsidRDefault="00B22BA2" w:rsidP="009959EE">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986700" w:history="1">
            <w:r w:rsidR="009959EE" w:rsidRPr="009959EE">
              <w:rPr>
                <w:rStyle w:val="Hipervnculo"/>
                <w:rFonts w:ascii="Arial" w:hAnsi="Arial" w:cs="Arial"/>
                <w:noProof/>
                <w:color w:val="auto"/>
                <w:szCs w:val="24"/>
              </w:rPr>
              <w:t>1.</w:t>
            </w:r>
            <w:r w:rsidR="009959EE" w:rsidRPr="009959EE">
              <w:rPr>
                <w:rFonts w:ascii="Arial" w:hAnsi="Arial" w:cs="Arial"/>
                <w:noProof/>
                <w:color w:val="auto"/>
                <w:szCs w:val="24"/>
                <w:lang w:val="es-MX" w:eastAsia="es-MX"/>
              </w:rPr>
              <w:tab/>
            </w:r>
            <w:r w:rsidR="009959EE" w:rsidRPr="009959EE">
              <w:rPr>
                <w:rStyle w:val="Hipervnculo"/>
                <w:rFonts w:ascii="Arial" w:hAnsi="Arial" w:cs="Arial"/>
                <w:noProof/>
                <w:color w:val="auto"/>
                <w:szCs w:val="24"/>
              </w:rPr>
              <w:t>TESIS AISLADA EN MATERIA PENAL</w:t>
            </w:r>
            <w:r w:rsidR="009959EE" w:rsidRPr="009959EE">
              <w:rPr>
                <w:rFonts w:ascii="Arial" w:hAnsi="Arial" w:cs="Arial"/>
                <w:noProof/>
                <w:webHidden/>
                <w:color w:val="auto"/>
                <w:szCs w:val="24"/>
              </w:rPr>
              <w:tab/>
            </w:r>
            <w:r w:rsidR="009959EE" w:rsidRPr="009959EE">
              <w:rPr>
                <w:rFonts w:ascii="Arial" w:hAnsi="Arial" w:cs="Arial"/>
                <w:noProof/>
                <w:webHidden/>
                <w:color w:val="auto"/>
                <w:szCs w:val="24"/>
              </w:rPr>
              <w:fldChar w:fldCharType="begin"/>
            </w:r>
            <w:r w:rsidR="009959EE" w:rsidRPr="009959EE">
              <w:rPr>
                <w:rFonts w:ascii="Arial" w:hAnsi="Arial" w:cs="Arial"/>
                <w:noProof/>
                <w:webHidden/>
                <w:color w:val="auto"/>
                <w:szCs w:val="24"/>
              </w:rPr>
              <w:instrText xml:space="preserve"> PAGEREF _Toc29986700 \h </w:instrText>
            </w:r>
            <w:r w:rsidR="009959EE" w:rsidRPr="009959EE">
              <w:rPr>
                <w:rFonts w:ascii="Arial" w:hAnsi="Arial" w:cs="Arial"/>
                <w:noProof/>
                <w:webHidden/>
                <w:color w:val="auto"/>
                <w:szCs w:val="24"/>
              </w:rPr>
            </w:r>
            <w:r w:rsidR="009959EE" w:rsidRPr="009959EE">
              <w:rPr>
                <w:rFonts w:ascii="Arial" w:hAnsi="Arial" w:cs="Arial"/>
                <w:noProof/>
                <w:webHidden/>
                <w:color w:val="auto"/>
                <w:szCs w:val="24"/>
              </w:rPr>
              <w:fldChar w:fldCharType="separate"/>
            </w:r>
            <w:r w:rsidR="009959EE" w:rsidRPr="009959EE">
              <w:rPr>
                <w:rFonts w:ascii="Arial" w:hAnsi="Arial" w:cs="Arial"/>
                <w:noProof/>
                <w:webHidden/>
                <w:color w:val="auto"/>
                <w:szCs w:val="24"/>
              </w:rPr>
              <w:t>2</w:t>
            </w:r>
            <w:r w:rsidR="009959EE" w:rsidRPr="009959EE">
              <w:rPr>
                <w:rFonts w:ascii="Arial" w:hAnsi="Arial" w:cs="Arial"/>
                <w:noProof/>
                <w:webHidden/>
                <w:color w:val="auto"/>
                <w:szCs w:val="24"/>
              </w:rPr>
              <w:fldChar w:fldCharType="end"/>
            </w:r>
          </w:hyperlink>
        </w:p>
        <w:p w:rsidR="009959EE" w:rsidRPr="009959EE" w:rsidRDefault="009959EE" w:rsidP="009959EE">
          <w:pPr>
            <w:pStyle w:val="TDC2"/>
            <w:tabs>
              <w:tab w:val="left" w:pos="880"/>
              <w:tab w:val="right" w:leader="dot" w:pos="8830"/>
            </w:tabs>
            <w:jc w:val="both"/>
            <w:rPr>
              <w:rFonts w:ascii="Arial" w:eastAsiaTheme="minorEastAsia" w:hAnsi="Arial" w:cs="Arial"/>
              <w:noProof/>
              <w:sz w:val="24"/>
              <w:szCs w:val="24"/>
              <w:lang w:eastAsia="es-MX"/>
            </w:rPr>
          </w:pPr>
          <w:hyperlink w:anchor="_Toc29986701" w:history="1">
            <w:r w:rsidRPr="009959EE">
              <w:rPr>
                <w:rStyle w:val="Hipervnculo"/>
                <w:rFonts w:ascii="Arial" w:hAnsi="Arial" w:cs="Arial"/>
                <w:noProof/>
                <w:color w:val="auto"/>
                <w:sz w:val="24"/>
                <w:szCs w:val="24"/>
              </w:rPr>
              <w:t>1.1</w:t>
            </w:r>
            <w:r w:rsidRPr="009959EE">
              <w:rPr>
                <w:rFonts w:ascii="Arial" w:eastAsiaTheme="minorEastAsia" w:hAnsi="Arial" w:cs="Arial"/>
                <w:noProof/>
                <w:sz w:val="24"/>
                <w:szCs w:val="24"/>
                <w:lang w:eastAsia="es-MX"/>
              </w:rPr>
              <w:tab/>
            </w:r>
            <w:r w:rsidRPr="009959EE">
              <w:rPr>
                <w:rStyle w:val="Hipervnculo"/>
                <w:rFonts w:ascii="Arial" w:hAnsi="Arial" w:cs="Arial"/>
                <w:noProof/>
                <w:color w:val="auto"/>
                <w:sz w:val="24"/>
                <w:szCs w:val="24"/>
              </w:rPr>
              <w:t>PRESCRIPCIÓN DE LA ACCIÓN PENAL. EL CÓMPUTO DEL PLAZO PARA QUE OPERE SE INTERRUMPE POR EL EJERCICIO DE LA ACCIÓN PENAL, QUE DA INICIO SÓLO EN CUALQUIERA DE LAS HIPÓTESIS DEFINIDAS EN EL ARTÍCULO 211 DEL CÓDIGO NACIONAL DE PROCEDIMIENTOS PENALES Y NO CON LA SOLICITUD DE AUDIENCIA PARA DIRIMIR LA COMPETENCIA DEL JUEZ DE CONTROL.</w:t>
            </w:r>
            <w:r w:rsidRPr="009959EE">
              <w:rPr>
                <w:rFonts w:ascii="Arial" w:hAnsi="Arial" w:cs="Arial"/>
                <w:noProof/>
                <w:webHidden/>
                <w:sz w:val="24"/>
                <w:szCs w:val="24"/>
              </w:rPr>
              <w:tab/>
            </w:r>
            <w:r w:rsidRPr="009959EE">
              <w:rPr>
                <w:rFonts w:ascii="Arial" w:hAnsi="Arial" w:cs="Arial"/>
                <w:noProof/>
                <w:webHidden/>
                <w:sz w:val="24"/>
                <w:szCs w:val="24"/>
              </w:rPr>
              <w:fldChar w:fldCharType="begin"/>
            </w:r>
            <w:r w:rsidRPr="009959EE">
              <w:rPr>
                <w:rFonts w:ascii="Arial" w:hAnsi="Arial" w:cs="Arial"/>
                <w:noProof/>
                <w:webHidden/>
                <w:sz w:val="24"/>
                <w:szCs w:val="24"/>
              </w:rPr>
              <w:instrText xml:space="preserve"> PAGEREF _Toc29986701 \h </w:instrText>
            </w:r>
            <w:r w:rsidRPr="009959EE">
              <w:rPr>
                <w:rFonts w:ascii="Arial" w:hAnsi="Arial" w:cs="Arial"/>
                <w:noProof/>
                <w:webHidden/>
                <w:sz w:val="24"/>
                <w:szCs w:val="24"/>
              </w:rPr>
            </w:r>
            <w:r w:rsidRPr="009959EE">
              <w:rPr>
                <w:rFonts w:ascii="Arial" w:hAnsi="Arial" w:cs="Arial"/>
                <w:noProof/>
                <w:webHidden/>
                <w:sz w:val="24"/>
                <w:szCs w:val="24"/>
              </w:rPr>
              <w:fldChar w:fldCharType="separate"/>
            </w:r>
            <w:r w:rsidRPr="009959EE">
              <w:rPr>
                <w:rFonts w:ascii="Arial" w:hAnsi="Arial" w:cs="Arial"/>
                <w:noProof/>
                <w:webHidden/>
                <w:sz w:val="24"/>
                <w:szCs w:val="24"/>
              </w:rPr>
              <w:t>2</w:t>
            </w:r>
            <w:r w:rsidRPr="009959EE">
              <w:rPr>
                <w:rFonts w:ascii="Arial" w:hAnsi="Arial" w:cs="Arial"/>
                <w:noProof/>
                <w:webHidden/>
                <w:sz w:val="24"/>
                <w:szCs w:val="24"/>
              </w:rPr>
              <w:fldChar w:fldCharType="end"/>
            </w:r>
          </w:hyperlink>
        </w:p>
        <w:p w:rsidR="009959EE" w:rsidRPr="009959EE" w:rsidRDefault="009959EE" w:rsidP="009959EE">
          <w:pPr>
            <w:pStyle w:val="TDC1"/>
            <w:tabs>
              <w:tab w:val="left" w:pos="440"/>
              <w:tab w:val="right" w:leader="dot" w:pos="8830"/>
            </w:tabs>
            <w:jc w:val="both"/>
            <w:rPr>
              <w:rFonts w:ascii="Arial" w:hAnsi="Arial" w:cs="Arial"/>
              <w:noProof/>
              <w:color w:val="auto"/>
              <w:szCs w:val="24"/>
              <w:lang w:val="es-MX" w:eastAsia="es-MX"/>
            </w:rPr>
          </w:pPr>
          <w:hyperlink w:anchor="_Toc29986702" w:history="1">
            <w:r w:rsidRPr="009959EE">
              <w:rPr>
                <w:rStyle w:val="Hipervnculo"/>
                <w:rFonts w:ascii="Arial" w:hAnsi="Arial" w:cs="Arial"/>
                <w:noProof/>
                <w:color w:val="auto"/>
                <w:szCs w:val="24"/>
              </w:rPr>
              <w:t>2.</w:t>
            </w:r>
            <w:r w:rsidRPr="009959EE">
              <w:rPr>
                <w:rFonts w:ascii="Arial" w:hAnsi="Arial" w:cs="Arial"/>
                <w:noProof/>
                <w:color w:val="auto"/>
                <w:szCs w:val="24"/>
                <w:lang w:val="es-MX" w:eastAsia="es-MX"/>
              </w:rPr>
              <w:tab/>
            </w:r>
            <w:r w:rsidRPr="009959EE">
              <w:rPr>
                <w:rStyle w:val="Hipervnculo"/>
                <w:rFonts w:ascii="Arial" w:hAnsi="Arial" w:cs="Arial"/>
                <w:noProof/>
                <w:color w:val="auto"/>
                <w:szCs w:val="24"/>
              </w:rPr>
              <w:t>FUENTES CONSULTADAS</w:t>
            </w:r>
            <w:r w:rsidRPr="009959EE">
              <w:rPr>
                <w:rFonts w:ascii="Arial" w:hAnsi="Arial" w:cs="Arial"/>
                <w:noProof/>
                <w:webHidden/>
                <w:color w:val="auto"/>
                <w:szCs w:val="24"/>
              </w:rPr>
              <w:tab/>
            </w:r>
            <w:r w:rsidRPr="009959EE">
              <w:rPr>
                <w:rFonts w:ascii="Arial" w:hAnsi="Arial" w:cs="Arial"/>
                <w:noProof/>
                <w:webHidden/>
                <w:color w:val="auto"/>
                <w:szCs w:val="24"/>
              </w:rPr>
              <w:fldChar w:fldCharType="begin"/>
            </w:r>
            <w:r w:rsidRPr="009959EE">
              <w:rPr>
                <w:rFonts w:ascii="Arial" w:hAnsi="Arial" w:cs="Arial"/>
                <w:noProof/>
                <w:webHidden/>
                <w:color w:val="auto"/>
                <w:szCs w:val="24"/>
              </w:rPr>
              <w:instrText xml:space="preserve"> PAGEREF _Toc29986702 \h </w:instrText>
            </w:r>
            <w:r w:rsidRPr="009959EE">
              <w:rPr>
                <w:rFonts w:ascii="Arial" w:hAnsi="Arial" w:cs="Arial"/>
                <w:noProof/>
                <w:webHidden/>
                <w:color w:val="auto"/>
                <w:szCs w:val="24"/>
              </w:rPr>
            </w:r>
            <w:r w:rsidRPr="009959EE">
              <w:rPr>
                <w:rFonts w:ascii="Arial" w:hAnsi="Arial" w:cs="Arial"/>
                <w:noProof/>
                <w:webHidden/>
                <w:color w:val="auto"/>
                <w:szCs w:val="24"/>
              </w:rPr>
              <w:fldChar w:fldCharType="separate"/>
            </w:r>
            <w:r w:rsidRPr="009959EE">
              <w:rPr>
                <w:rFonts w:ascii="Arial" w:hAnsi="Arial" w:cs="Arial"/>
                <w:noProof/>
                <w:webHidden/>
                <w:color w:val="auto"/>
                <w:szCs w:val="24"/>
              </w:rPr>
              <w:t>3</w:t>
            </w:r>
            <w:r w:rsidRPr="009959EE">
              <w:rPr>
                <w:rFonts w:ascii="Arial" w:hAnsi="Arial" w:cs="Arial"/>
                <w:noProof/>
                <w:webHidden/>
                <w:color w:val="auto"/>
                <w:szCs w:val="24"/>
              </w:rPr>
              <w:fldChar w:fldCharType="end"/>
            </w:r>
          </w:hyperlink>
        </w:p>
        <w:p w:rsidR="009959EE" w:rsidRPr="009959EE" w:rsidRDefault="009959EE" w:rsidP="009959EE">
          <w:pPr>
            <w:pStyle w:val="TDC2"/>
            <w:tabs>
              <w:tab w:val="left" w:pos="880"/>
              <w:tab w:val="right" w:leader="dot" w:pos="8830"/>
            </w:tabs>
            <w:jc w:val="both"/>
            <w:rPr>
              <w:rFonts w:ascii="Arial" w:eastAsiaTheme="minorEastAsia" w:hAnsi="Arial" w:cs="Arial"/>
              <w:noProof/>
              <w:sz w:val="24"/>
              <w:szCs w:val="24"/>
              <w:lang w:eastAsia="es-MX"/>
            </w:rPr>
          </w:pPr>
          <w:hyperlink w:anchor="_Toc29986703" w:history="1">
            <w:r w:rsidRPr="009959EE">
              <w:rPr>
                <w:rStyle w:val="Hipervnculo"/>
                <w:rFonts w:ascii="Arial" w:hAnsi="Arial" w:cs="Arial"/>
                <w:noProof/>
                <w:color w:val="auto"/>
                <w:sz w:val="24"/>
                <w:szCs w:val="24"/>
              </w:rPr>
              <w:t>2.1</w:t>
            </w:r>
            <w:r w:rsidRPr="009959EE">
              <w:rPr>
                <w:rFonts w:ascii="Arial" w:eastAsiaTheme="minorEastAsia" w:hAnsi="Arial" w:cs="Arial"/>
                <w:noProof/>
                <w:sz w:val="24"/>
                <w:szCs w:val="24"/>
                <w:lang w:eastAsia="es-MX"/>
              </w:rPr>
              <w:tab/>
            </w:r>
            <w:r w:rsidRPr="009959EE">
              <w:rPr>
                <w:rStyle w:val="Hipervnculo"/>
                <w:rFonts w:ascii="Arial" w:hAnsi="Arial" w:cs="Arial"/>
                <w:noProof/>
                <w:color w:val="auto"/>
                <w:sz w:val="24"/>
                <w:szCs w:val="24"/>
              </w:rPr>
              <w:t>CIBEROGRÁFICA:</w:t>
            </w:r>
            <w:r w:rsidRPr="009959EE">
              <w:rPr>
                <w:rFonts w:ascii="Arial" w:hAnsi="Arial" w:cs="Arial"/>
                <w:noProof/>
                <w:webHidden/>
                <w:sz w:val="24"/>
                <w:szCs w:val="24"/>
              </w:rPr>
              <w:tab/>
            </w:r>
            <w:r w:rsidRPr="009959EE">
              <w:rPr>
                <w:rFonts w:ascii="Arial" w:hAnsi="Arial" w:cs="Arial"/>
                <w:noProof/>
                <w:webHidden/>
                <w:sz w:val="24"/>
                <w:szCs w:val="24"/>
              </w:rPr>
              <w:fldChar w:fldCharType="begin"/>
            </w:r>
            <w:r w:rsidRPr="009959EE">
              <w:rPr>
                <w:rFonts w:ascii="Arial" w:hAnsi="Arial" w:cs="Arial"/>
                <w:noProof/>
                <w:webHidden/>
                <w:sz w:val="24"/>
                <w:szCs w:val="24"/>
              </w:rPr>
              <w:instrText xml:space="preserve"> PAGEREF _Toc29986703 \h </w:instrText>
            </w:r>
            <w:r w:rsidRPr="009959EE">
              <w:rPr>
                <w:rFonts w:ascii="Arial" w:hAnsi="Arial" w:cs="Arial"/>
                <w:noProof/>
                <w:webHidden/>
                <w:sz w:val="24"/>
                <w:szCs w:val="24"/>
              </w:rPr>
            </w:r>
            <w:r w:rsidRPr="009959EE">
              <w:rPr>
                <w:rFonts w:ascii="Arial" w:hAnsi="Arial" w:cs="Arial"/>
                <w:noProof/>
                <w:webHidden/>
                <w:sz w:val="24"/>
                <w:szCs w:val="24"/>
              </w:rPr>
              <w:fldChar w:fldCharType="separate"/>
            </w:r>
            <w:r w:rsidRPr="009959EE">
              <w:rPr>
                <w:rFonts w:ascii="Arial" w:hAnsi="Arial" w:cs="Arial"/>
                <w:noProof/>
                <w:webHidden/>
                <w:sz w:val="24"/>
                <w:szCs w:val="24"/>
              </w:rPr>
              <w:t>3</w:t>
            </w:r>
            <w:r w:rsidRPr="009959EE">
              <w:rPr>
                <w:rFonts w:ascii="Arial" w:hAnsi="Arial" w:cs="Arial"/>
                <w:noProof/>
                <w:webHidden/>
                <w:sz w:val="24"/>
                <w:szCs w:val="24"/>
              </w:rPr>
              <w:fldChar w:fldCharType="end"/>
            </w:r>
          </w:hyperlink>
        </w:p>
        <w:p w:rsidR="009959EE" w:rsidRDefault="009959EE" w:rsidP="009959EE">
          <w:pPr>
            <w:pStyle w:val="TDC3"/>
            <w:tabs>
              <w:tab w:val="left" w:pos="1320"/>
              <w:tab w:val="right" w:leader="dot" w:pos="8830"/>
            </w:tabs>
            <w:jc w:val="both"/>
            <w:rPr>
              <w:rFonts w:eastAsiaTheme="minorEastAsia"/>
              <w:noProof/>
              <w:lang w:eastAsia="es-MX"/>
            </w:rPr>
          </w:pPr>
          <w:hyperlink w:anchor="_Toc29986704" w:history="1">
            <w:r w:rsidRPr="009959EE">
              <w:rPr>
                <w:rStyle w:val="Hipervnculo"/>
                <w:rFonts w:ascii="Arial" w:hAnsi="Arial" w:cs="Arial"/>
                <w:noProof/>
                <w:color w:val="auto"/>
                <w:sz w:val="24"/>
                <w:szCs w:val="24"/>
              </w:rPr>
              <w:t>2.1.1</w:t>
            </w:r>
            <w:r w:rsidRPr="009959EE">
              <w:rPr>
                <w:rFonts w:ascii="Arial" w:eastAsiaTheme="minorEastAsia" w:hAnsi="Arial" w:cs="Arial"/>
                <w:noProof/>
                <w:sz w:val="24"/>
                <w:szCs w:val="24"/>
                <w:lang w:eastAsia="es-MX"/>
              </w:rPr>
              <w:tab/>
            </w:r>
            <w:r w:rsidRPr="009959EE">
              <w:rPr>
                <w:rStyle w:val="Hipervnculo"/>
                <w:rFonts w:ascii="Arial" w:hAnsi="Arial" w:cs="Arial"/>
                <w:noProof/>
                <w:color w:val="auto"/>
                <w:sz w:val="24"/>
                <w:szCs w:val="24"/>
              </w:rPr>
              <w:t>SEMANARIO JUDICIAL DE LA FEDERACIÓN</w:t>
            </w:r>
            <w:r w:rsidRPr="009959EE">
              <w:rPr>
                <w:rFonts w:ascii="Arial" w:hAnsi="Arial" w:cs="Arial"/>
                <w:noProof/>
                <w:webHidden/>
                <w:sz w:val="24"/>
                <w:szCs w:val="24"/>
              </w:rPr>
              <w:tab/>
            </w:r>
            <w:r w:rsidRPr="009959EE">
              <w:rPr>
                <w:rFonts w:ascii="Arial" w:hAnsi="Arial" w:cs="Arial"/>
                <w:noProof/>
                <w:webHidden/>
                <w:sz w:val="24"/>
                <w:szCs w:val="24"/>
              </w:rPr>
              <w:fldChar w:fldCharType="begin"/>
            </w:r>
            <w:r w:rsidRPr="009959EE">
              <w:rPr>
                <w:rFonts w:ascii="Arial" w:hAnsi="Arial" w:cs="Arial"/>
                <w:noProof/>
                <w:webHidden/>
                <w:sz w:val="24"/>
                <w:szCs w:val="24"/>
              </w:rPr>
              <w:instrText xml:space="preserve"> PAGEREF _Toc29986704 \h </w:instrText>
            </w:r>
            <w:r w:rsidRPr="009959EE">
              <w:rPr>
                <w:rFonts w:ascii="Arial" w:hAnsi="Arial" w:cs="Arial"/>
                <w:noProof/>
                <w:webHidden/>
                <w:sz w:val="24"/>
                <w:szCs w:val="24"/>
              </w:rPr>
            </w:r>
            <w:r w:rsidRPr="009959EE">
              <w:rPr>
                <w:rFonts w:ascii="Arial" w:hAnsi="Arial" w:cs="Arial"/>
                <w:noProof/>
                <w:webHidden/>
                <w:sz w:val="24"/>
                <w:szCs w:val="24"/>
              </w:rPr>
              <w:fldChar w:fldCharType="separate"/>
            </w:r>
            <w:r w:rsidRPr="009959EE">
              <w:rPr>
                <w:rFonts w:ascii="Arial" w:hAnsi="Arial" w:cs="Arial"/>
                <w:noProof/>
                <w:webHidden/>
                <w:sz w:val="24"/>
                <w:szCs w:val="24"/>
              </w:rPr>
              <w:t>3</w:t>
            </w:r>
            <w:r w:rsidRPr="009959EE">
              <w:rPr>
                <w:rFonts w:ascii="Arial" w:hAnsi="Arial" w:cs="Arial"/>
                <w:noProof/>
                <w:webHidden/>
                <w:sz w:val="24"/>
                <w:szCs w:val="24"/>
              </w:rPr>
              <w:fldChar w:fldCharType="end"/>
            </w:r>
          </w:hyperlink>
        </w:p>
        <w:p w:rsidR="00B22BA2" w:rsidRDefault="00B22BA2">
          <w:r>
            <w:rPr>
              <w:b/>
              <w:bCs/>
            </w:rPr>
            <w:fldChar w:fldCharType="end"/>
          </w:r>
        </w:p>
        <w:bookmarkStart w:id="0" w:name="_GoBack" w:displacedByCustomXml="next"/>
        <w:bookmarkEnd w:id="0" w:displacedByCustomXml="next"/>
      </w:sdtContent>
    </w:sdt>
    <w:p w:rsidR="00B22BA2" w:rsidRDefault="00B22BA2">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F4008C" w:rsidRPr="00C81B99" w:rsidRDefault="00F4008C" w:rsidP="00C81B99">
      <w:pPr>
        <w:pStyle w:val="Ttulo1"/>
        <w:numPr>
          <w:ilvl w:val="0"/>
          <w:numId w:val="7"/>
        </w:numPr>
        <w:jc w:val="center"/>
        <w:rPr>
          <w:rFonts w:ascii="Arial" w:hAnsi="Arial" w:cs="Arial"/>
          <w:color w:val="B35E06" w:themeColor="accent1" w:themeShade="BF"/>
          <w:sz w:val="36"/>
          <w:szCs w:val="36"/>
        </w:rPr>
      </w:pPr>
      <w:bookmarkStart w:id="1" w:name="_Toc29986700"/>
      <w:r w:rsidRPr="00C81B99">
        <w:rPr>
          <w:rFonts w:ascii="Arial" w:hAnsi="Arial" w:cs="Arial"/>
          <w:color w:val="B35E06" w:themeColor="accent1" w:themeShade="BF"/>
          <w:sz w:val="36"/>
          <w:szCs w:val="36"/>
        </w:rPr>
        <w:lastRenderedPageBreak/>
        <w:t>TESIS AISLADA EN MATERIA PENAL</w:t>
      </w:r>
      <w:bookmarkEnd w:id="1"/>
    </w:p>
    <w:p w:rsidR="00F4008C" w:rsidRDefault="00F4008C" w:rsidP="00F4008C">
      <w:pPr>
        <w:spacing w:after="0" w:line="240" w:lineRule="auto"/>
        <w:jc w:val="both"/>
        <w:rPr>
          <w:rFonts w:ascii="Arial" w:hAnsi="Arial" w:cs="Arial"/>
        </w:rPr>
      </w:pPr>
    </w:p>
    <w:p w:rsidR="00ED363F" w:rsidRPr="00F4008C" w:rsidRDefault="00C81B99" w:rsidP="00F4008C">
      <w:pPr>
        <w:spacing w:after="0" w:line="240" w:lineRule="auto"/>
        <w:jc w:val="both"/>
        <w:rPr>
          <w:rFonts w:ascii="Arial" w:hAnsi="Arial" w:cs="Arial"/>
        </w:rPr>
      </w:pPr>
      <w:r>
        <w:rPr>
          <w:rFonts w:ascii="Arial" w:hAnsi="Arial" w:cs="Arial"/>
        </w:rPr>
        <w:t xml:space="preserve">1. </w:t>
      </w:r>
      <w:r w:rsidR="00ED363F" w:rsidRPr="00F4008C">
        <w:rPr>
          <w:rFonts w:ascii="Arial" w:hAnsi="Arial" w:cs="Arial"/>
        </w:rPr>
        <w:t xml:space="preserve">Época: Décima Época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Registro: 2021386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Instancia: Tribunales Colegiados de Circuito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Tipo de Tesis: Aislada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Fuente: Semanario Judicial de la Federación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Publicación: viernes 10 de enero de 2020 10:11 h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Materia(s): (Penal) </w:t>
      </w: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Tesis: VI.2o.P.62 P (10a.) </w:t>
      </w:r>
    </w:p>
    <w:p w:rsidR="00ED363F" w:rsidRPr="00F4008C" w:rsidRDefault="00ED363F" w:rsidP="00F4008C">
      <w:pPr>
        <w:spacing w:after="0" w:line="240" w:lineRule="auto"/>
        <w:jc w:val="both"/>
        <w:rPr>
          <w:rFonts w:ascii="Arial" w:hAnsi="Arial" w:cs="Arial"/>
        </w:rPr>
      </w:pPr>
    </w:p>
    <w:p w:rsidR="00ED363F" w:rsidRPr="00C81B99" w:rsidRDefault="00ED363F" w:rsidP="00C81B99">
      <w:pPr>
        <w:pStyle w:val="Ttulo2"/>
        <w:jc w:val="both"/>
        <w:rPr>
          <w:rFonts w:ascii="Arial" w:hAnsi="Arial" w:cs="Arial"/>
          <w:color w:val="B35E06" w:themeColor="accent1" w:themeShade="BF"/>
          <w:sz w:val="26"/>
          <w:szCs w:val="26"/>
        </w:rPr>
      </w:pPr>
      <w:bookmarkStart w:id="2" w:name="_Toc29986701"/>
      <w:r w:rsidRPr="00C81B99">
        <w:rPr>
          <w:rFonts w:ascii="Arial" w:hAnsi="Arial" w:cs="Arial"/>
          <w:color w:val="B35E06" w:themeColor="accent1" w:themeShade="BF"/>
          <w:sz w:val="26"/>
          <w:szCs w:val="26"/>
        </w:rPr>
        <w:t>PRESCRIPCIÓN DE LA ACCIÓN PENAL. EL CÓMPUTO DEL PLAZO PARA QUE OPERE SE INTERRUMPE POR EL EJERCICIO DE LA ACCIÓN PENAL, QUE DA INICIO SÓLO EN CUALQUIERA DE LAS HIPÓTESIS DEFINIDAS EN EL ARTÍCULO 211 DEL CÓDIGO NACIONAL DE PROCEDIMIENTOS PENALES Y NO CON LA SOLICITUD DE AUDIENCIA PARA DIRIMIR LA COMPETENCIA DEL JUEZ DE CONTROL.</w:t>
      </w:r>
      <w:bookmarkEnd w:id="2"/>
    </w:p>
    <w:p w:rsidR="00ED363F" w:rsidRPr="00F4008C" w:rsidRDefault="00ED363F" w:rsidP="00F4008C">
      <w:pPr>
        <w:spacing w:after="0" w:line="240" w:lineRule="auto"/>
        <w:jc w:val="both"/>
        <w:rPr>
          <w:rFonts w:ascii="Arial" w:hAnsi="Arial" w:cs="Arial"/>
        </w:rPr>
      </w:pPr>
    </w:p>
    <w:p w:rsidR="00ED363F" w:rsidRPr="00F4008C" w:rsidRDefault="00ED363F" w:rsidP="00F4008C">
      <w:pPr>
        <w:spacing w:after="0" w:line="240" w:lineRule="auto"/>
        <w:jc w:val="both"/>
        <w:rPr>
          <w:rFonts w:ascii="Arial" w:hAnsi="Arial" w:cs="Arial"/>
        </w:rPr>
      </w:pPr>
      <w:r w:rsidRPr="00F4008C">
        <w:rPr>
          <w:rFonts w:ascii="Arial" w:hAnsi="Arial" w:cs="Arial"/>
        </w:rPr>
        <w:t xml:space="preserve">Para que opere el sobreseimiento del proceso, por la causal relativa a la extinción de la acción penal, con motivo de su prescripción, conforme al artículo 327, fracción VI, en relación con el diverso 485, fracción VII, ambos del Código Nacional de Procedimientos Penales, debe considerarse que el cómputo del plazo de esta última sólo se interrumpe por el ejercicio de la acción penal, conforme a la jurisprudencia por contradicción de tesis 1a./J. 152/2005, emitida por la Primera Sala de la Suprema Corte de Justicia de la Nación, de rubro: "ACCIÓN PENAL. LA CONSIGNACIÓN INTERRUMPE SU PRESCRIPCIÓN."; y que el artículo 211 del código citado es exacto al prever que el ejercicio de la acción penal inicia únicamente en tres hipótesis, bien delimitadas: a) con la solicitud de citatorio a audiencia inicial; b) con la puesta a disposición del detenido ante la autoridad judicial; o, c) cuando se solicita la orden de aprehensión o comparecencia; y que el proceso inicia con la audiencia inicial y termina con la sentencia firme. En ese contexto, al contar con una disposición clara y concreta, no ha lugar a efectuar un ejercicio interpretativo, en el sentido de que se ejerció acción penal con la solicitud del Ministerio Público de señalar fecha y hora de audiencia para dirimir la competencia del Juez de control, pues esta hipótesis no se encuentra contenida </w:t>
      </w:r>
      <w:r w:rsidRPr="00F4008C">
        <w:rPr>
          <w:rFonts w:ascii="Arial" w:hAnsi="Arial" w:cs="Arial"/>
        </w:rPr>
        <w:lastRenderedPageBreak/>
        <w:t>en la legislación penal aplicable y, por ende, en atención al principio de legalidad, como una garantía del derecho humano a la seguridad jurídica, acorde con el cual, las autoridades sólo pueden hacer aquello para lo que expresamente les facultan las leyes, es ilegal que la autoridad responsable incluya un supuesto no previsto jurídicamente para el ejercicio de la acción penal; máxime que la competencia del juzgador, como presupuesto procesal, es dable dirimirla en los momentos y las vías establecidas en el propio código, en sus artículos del 20 al 29, sin que se advierta la posibilidad de dirimirla en una audiencia preliminar al ejercicio de la acción penal, y mucho menos que con ella se dé por ejercida la acción penal, e iniciado el proceso.</w:t>
      </w:r>
    </w:p>
    <w:p w:rsidR="00ED363F" w:rsidRPr="00F4008C" w:rsidRDefault="00ED363F" w:rsidP="00F4008C">
      <w:pPr>
        <w:spacing w:after="0" w:line="240" w:lineRule="auto"/>
        <w:jc w:val="both"/>
        <w:rPr>
          <w:rFonts w:ascii="Arial" w:hAnsi="Arial" w:cs="Arial"/>
        </w:rPr>
      </w:pPr>
    </w:p>
    <w:p w:rsidR="00ED363F" w:rsidRPr="00F4008C" w:rsidRDefault="00ED363F" w:rsidP="00F4008C">
      <w:pPr>
        <w:spacing w:after="0" w:line="240" w:lineRule="auto"/>
        <w:jc w:val="both"/>
        <w:rPr>
          <w:rFonts w:ascii="Arial" w:hAnsi="Arial" w:cs="Arial"/>
        </w:rPr>
      </w:pPr>
      <w:r w:rsidRPr="00F4008C">
        <w:rPr>
          <w:rFonts w:ascii="Arial" w:hAnsi="Arial" w:cs="Arial"/>
        </w:rPr>
        <w:t>SEGUNDO TRIBUNAL COLEGIADO EN MATERIA PENAL DEL SEXTO CIRCUITO.</w:t>
      </w:r>
    </w:p>
    <w:p w:rsidR="00ED363F" w:rsidRPr="00F4008C" w:rsidRDefault="00ED363F" w:rsidP="00F4008C">
      <w:pPr>
        <w:spacing w:after="0" w:line="240" w:lineRule="auto"/>
        <w:jc w:val="both"/>
        <w:rPr>
          <w:rFonts w:ascii="Arial" w:hAnsi="Arial" w:cs="Arial"/>
        </w:rPr>
      </w:pPr>
    </w:p>
    <w:p w:rsidR="00ED363F" w:rsidRPr="00F4008C" w:rsidRDefault="00ED363F" w:rsidP="00F4008C">
      <w:pPr>
        <w:spacing w:after="0" w:line="240" w:lineRule="auto"/>
        <w:jc w:val="both"/>
        <w:rPr>
          <w:rFonts w:ascii="Arial" w:hAnsi="Arial" w:cs="Arial"/>
        </w:rPr>
      </w:pPr>
      <w:r w:rsidRPr="00F4008C">
        <w:rPr>
          <w:rFonts w:ascii="Arial" w:hAnsi="Arial" w:cs="Arial"/>
        </w:rPr>
        <w:t>Amparo en revisión 132/2019. 26 de septiembre de 2019. Unanimidad de votos. Ponente: Arturo Mejía Ponce de León. Secretaria: María del Rocío Moctezuma Camarillo.</w:t>
      </w:r>
    </w:p>
    <w:p w:rsidR="00ED363F" w:rsidRPr="00F4008C" w:rsidRDefault="00ED363F" w:rsidP="00F4008C">
      <w:pPr>
        <w:spacing w:after="0" w:line="240" w:lineRule="auto"/>
        <w:jc w:val="both"/>
        <w:rPr>
          <w:rFonts w:ascii="Arial" w:hAnsi="Arial" w:cs="Arial"/>
        </w:rPr>
      </w:pPr>
    </w:p>
    <w:p w:rsidR="00ED363F" w:rsidRPr="00F4008C" w:rsidRDefault="00ED363F" w:rsidP="00F4008C">
      <w:pPr>
        <w:spacing w:after="0" w:line="240" w:lineRule="auto"/>
        <w:jc w:val="both"/>
        <w:rPr>
          <w:rFonts w:ascii="Arial" w:hAnsi="Arial" w:cs="Arial"/>
        </w:rPr>
      </w:pPr>
      <w:r w:rsidRPr="00F4008C">
        <w:rPr>
          <w:rFonts w:ascii="Arial" w:hAnsi="Arial" w:cs="Arial"/>
        </w:rPr>
        <w:t>Nota: La tesis de jurisprudencia 1a</w:t>
      </w:r>
      <w:proofErr w:type="gramStart"/>
      <w:r w:rsidRPr="00F4008C">
        <w:rPr>
          <w:rFonts w:ascii="Arial" w:hAnsi="Arial" w:cs="Arial"/>
        </w:rPr>
        <w:t>./</w:t>
      </w:r>
      <w:proofErr w:type="gramEnd"/>
      <w:r w:rsidRPr="00F4008C">
        <w:rPr>
          <w:rFonts w:ascii="Arial" w:hAnsi="Arial" w:cs="Arial"/>
        </w:rPr>
        <w:t>J. 152/2005 citada, aparece publicada en el Semanario Judicial de la Federación y su Gaceta, Novena Época, Tomo XXIII, febrero de 2006, página 84, registro digital: 176054.</w:t>
      </w:r>
    </w:p>
    <w:p w:rsidR="0018400E" w:rsidRPr="00C81B99" w:rsidRDefault="0018400E" w:rsidP="00C81B99">
      <w:pPr>
        <w:pStyle w:val="Ttulo1"/>
        <w:numPr>
          <w:ilvl w:val="0"/>
          <w:numId w:val="11"/>
        </w:numPr>
        <w:spacing w:line="360" w:lineRule="auto"/>
        <w:jc w:val="center"/>
        <w:rPr>
          <w:rFonts w:ascii="Arial" w:hAnsi="Arial" w:cs="Arial"/>
          <w:color w:val="B35E06" w:themeColor="accent1" w:themeShade="BF"/>
          <w:sz w:val="36"/>
          <w:szCs w:val="36"/>
        </w:rPr>
      </w:pPr>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3479248"/>
      <w:bookmarkStart w:id="15" w:name="_Toc13479882"/>
      <w:bookmarkStart w:id="16" w:name="_Toc13480931"/>
      <w:bookmarkStart w:id="17" w:name="_Toc15894289"/>
      <w:bookmarkStart w:id="18" w:name="_Toc15988536"/>
      <w:bookmarkStart w:id="19" w:name="_Toc16504411"/>
      <w:bookmarkStart w:id="20" w:name="_Toc29986702"/>
      <w:r w:rsidRPr="00C81B99">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8400E" w:rsidRPr="00591067" w:rsidRDefault="0018400E" w:rsidP="0018400E">
      <w:pPr>
        <w:numPr>
          <w:ilvl w:val="0"/>
          <w:numId w:val="6"/>
        </w:numPr>
        <w:spacing w:after="0" w:line="360" w:lineRule="auto"/>
        <w:jc w:val="center"/>
        <w:rPr>
          <w:rFonts w:ascii="Arial" w:hAnsi="Arial" w:cs="Arial"/>
          <w:b/>
          <w:bCs/>
          <w:vanish/>
          <w:color w:val="B35E06" w:themeColor="accent1" w:themeShade="BF"/>
          <w:szCs w:val="24"/>
          <w:lang w:val="es-MX"/>
        </w:rPr>
      </w:pPr>
      <w:bookmarkStart w:id="21" w:name="_Toc536437384"/>
      <w:bookmarkStart w:id="22" w:name="_Toc536437577"/>
      <w:bookmarkStart w:id="23" w:name="_Toc536439344"/>
      <w:bookmarkStart w:id="24" w:name="_Toc536439427"/>
      <w:bookmarkStart w:id="25" w:name="_Toc536439467"/>
      <w:bookmarkStart w:id="26" w:name="_Toc338653"/>
      <w:bookmarkStart w:id="27" w:name="_Toc778876"/>
      <w:bookmarkStart w:id="28" w:name="_Toc779017"/>
      <w:bookmarkStart w:id="29" w:name="_Toc1379639"/>
      <w:bookmarkStart w:id="30" w:name="_Toc1380862"/>
      <w:bookmarkStart w:id="31" w:name="_Toc2071031"/>
      <w:bookmarkStart w:id="32" w:name="_Toc5180102"/>
      <w:bookmarkStart w:id="33" w:name="_Toc5180180"/>
      <w:bookmarkStart w:id="34" w:name="_Toc5262815"/>
      <w:bookmarkStart w:id="35" w:name="_Toc5263076"/>
      <w:bookmarkStart w:id="36" w:name="_Toc5263203"/>
      <w:bookmarkStart w:id="37" w:name="_Toc5263841"/>
      <w:bookmarkStart w:id="38" w:name="_Toc5263889"/>
      <w:bookmarkStart w:id="39" w:name="_Toc5263941"/>
      <w:bookmarkStart w:id="40" w:name="_Toc5273346"/>
      <w:bookmarkStart w:id="41" w:name="_Toc5277921"/>
      <w:bookmarkStart w:id="42" w:name="_Toc5371729"/>
      <w:bookmarkStart w:id="43" w:name="_Toc5371744"/>
      <w:bookmarkStart w:id="44" w:name="_Toc536439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8400E" w:rsidRPr="00591067" w:rsidRDefault="0018400E" w:rsidP="0018400E">
      <w:pPr>
        <w:numPr>
          <w:ilvl w:val="0"/>
          <w:numId w:val="6"/>
        </w:numPr>
        <w:spacing w:after="0" w:line="360" w:lineRule="auto"/>
        <w:jc w:val="center"/>
        <w:rPr>
          <w:rFonts w:ascii="Arial" w:hAnsi="Arial" w:cs="Arial"/>
          <w:b/>
          <w:bCs/>
          <w:vanish/>
          <w:color w:val="B35E06" w:themeColor="accent1" w:themeShade="BF"/>
          <w:szCs w:val="24"/>
          <w:lang w:val="es-MX"/>
        </w:rPr>
      </w:pPr>
      <w:bookmarkStart w:id="45" w:name="_Toc338654"/>
      <w:bookmarkStart w:id="46" w:name="_Toc778877"/>
      <w:bookmarkStart w:id="47" w:name="_Toc779018"/>
      <w:bookmarkStart w:id="48" w:name="_Toc1379640"/>
      <w:bookmarkStart w:id="49" w:name="_Toc1380863"/>
      <w:bookmarkStart w:id="50" w:name="_Toc2071032"/>
      <w:bookmarkStart w:id="51" w:name="_Toc5180103"/>
      <w:bookmarkStart w:id="52" w:name="_Toc5180181"/>
      <w:bookmarkStart w:id="53" w:name="_Toc5262816"/>
      <w:bookmarkStart w:id="54" w:name="_Toc5263077"/>
      <w:bookmarkStart w:id="55" w:name="_Toc5263204"/>
      <w:bookmarkStart w:id="56" w:name="_Toc5263842"/>
      <w:bookmarkStart w:id="57" w:name="_Toc5263890"/>
      <w:bookmarkStart w:id="58" w:name="_Toc5263942"/>
      <w:bookmarkStart w:id="59" w:name="_Toc5273347"/>
      <w:bookmarkStart w:id="60" w:name="_Toc5277922"/>
      <w:bookmarkStart w:id="61" w:name="_Toc5371730"/>
      <w:bookmarkStart w:id="62" w:name="_Toc53717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8400E" w:rsidRPr="00591067" w:rsidRDefault="0018400E" w:rsidP="0018400E">
      <w:pPr>
        <w:pStyle w:val="Ttulo2"/>
        <w:spacing w:line="360" w:lineRule="auto"/>
        <w:jc w:val="center"/>
        <w:rPr>
          <w:rFonts w:ascii="Arial" w:hAnsi="Arial" w:cs="Arial"/>
          <w:vanish/>
          <w:color w:val="B35E06" w:themeColor="accent1" w:themeShade="BF"/>
        </w:rPr>
      </w:pPr>
      <w:bookmarkStart w:id="63" w:name="_Toc5371746"/>
      <w:bookmarkStart w:id="64" w:name="_Toc5263205"/>
      <w:bookmarkStart w:id="65" w:name="_Toc5180182"/>
      <w:bookmarkStart w:id="66" w:name="_Toc1380864"/>
      <w:bookmarkStart w:id="67" w:name="_Toc779019"/>
      <w:bookmarkStart w:id="68" w:name="_Toc338655"/>
      <w:bookmarkStart w:id="69" w:name="_Toc1379641"/>
      <w:bookmarkStart w:id="70" w:name="_Toc2071033"/>
      <w:bookmarkStart w:id="71" w:name="_Toc11316583"/>
      <w:bookmarkStart w:id="72" w:name="_Toc13479249"/>
      <w:bookmarkStart w:id="73" w:name="_Toc13479883"/>
      <w:bookmarkStart w:id="74" w:name="_Toc13480932"/>
      <w:bookmarkStart w:id="75" w:name="_Toc15894290"/>
      <w:bookmarkStart w:id="76" w:name="_Toc15988537"/>
      <w:bookmarkStart w:id="77" w:name="_Toc16504412"/>
      <w:bookmarkStart w:id="78" w:name="_Toc29986703"/>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9" w:name="_Toc524446387"/>
      <w:bookmarkStart w:id="80" w:name="_Toc524519068"/>
      <w:bookmarkStart w:id="81" w:name="_Toc524519163"/>
      <w:bookmarkStart w:id="82" w:name="_Toc524446390"/>
      <w:bookmarkStart w:id="83" w:name="_Toc524519071"/>
      <w:bookmarkStart w:id="84" w:name="_Toc524519166"/>
      <w:bookmarkEnd w:id="4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8400E" w:rsidRPr="00591067" w:rsidRDefault="0018400E" w:rsidP="0018400E">
      <w:pPr>
        <w:spacing w:after="0" w:line="360" w:lineRule="auto"/>
        <w:jc w:val="center"/>
        <w:rPr>
          <w:rFonts w:ascii="Arial" w:hAnsi="Arial" w:cs="Arial"/>
          <w:color w:val="B35E06" w:themeColor="accent1" w:themeShade="BF"/>
          <w:szCs w:val="24"/>
        </w:rPr>
      </w:pPr>
      <w:bookmarkStart w:id="85" w:name="_Toc524947297"/>
      <w:bookmarkStart w:id="86" w:name="_Toc525683586"/>
      <w:bookmarkStart w:id="87" w:name="_Toc525686134"/>
      <w:bookmarkStart w:id="88" w:name="_Toc525808260"/>
      <w:bookmarkStart w:id="89" w:name="_Toc525808291"/>
      <w:bookmarkStart w:id="90" w:name="_Toc525808454"/>
      <w:bookmarkStart w:id="91" w:name="_Toc524947298"/>
      <w:bookmarkStart w:id="92" w:name="_Toc525683587"/>
      <w:bookmarkStart w:id="93" w:name="_Toc525686135"/>
      <w:bookmarkStart w:id="94" w:name="_Toc525808261"/>
      <w:bookmarkStart w:id="95" w:name="_Toc525808292"/>
      <w:bookmarkStart w:id="96" w:name="_Toc525808455"/>
      <w:bookmarkStart w:id="97" w:name="_Toc524947299"/>
      <w:bookmarkStart w:id="98" w:name="_Toc525683588"/>
      <w:bookmarkStart w:id="99" w:name="_Toc525686136"/>
      <w:bookmarkStart w:id="100" w:name="_Toc525808262"/>
      <w:bookmarkStart w:id="101" w:name="_Toc525808293"/>
      <w:bookmarkStart w:id="102" w:name="_Toc525808456"/>
      <w:bookmarkStart w:id="103" w:name="_Toc524947300"/>
      <w:bookmarkStart w:id="104" w:name="_Toc525683589"/>
      <w:bookmarkStart w:id="105" w:name="_Toc525808294"/>
      <w:bookmarkStart w:id="106" w:name="_Toc525808457"/>
      <w:bookmarkStart w:id="107" w:name="_Toc5305037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8400E" w:rsidRPr="00094A5D" w:rsidRDefault="0018400E" w:rsidP="0018400E">
      <w:pPr>
        <w:pStyle w:val="Ttulo3"/>
        <w:jc w:val="center"/>
        <w:rPr>
          <w:rFonts w:ascii="Arial" w:hAnsi="Arial" w:cs="Arial"/>
          <w:b w:val="0"/>
          <w:color w:val="B35E06" w:themeColor="accent1" w:themeShade="BF"/>
        </w:rPr>
      </w:pPr>
      <w:bookmarkStart w:id="108" w:name="_Toc5371747"/>
      <w:bookmarkStart w:id="109" w:name="_Toc5263206"/>
      <w:bookmarkStart w:id="110" w:name="_Toc5180183"/>
      <w:bookmarkStart w:id="111" w:name="_Toc1380865"/>
      <w:bookmarkStart w:id="112" w:name="_Toc779020"/>
      <w:bookmarkStart w:id="113" w:name="_Toc536439469"/>
      <w:bookmarkStart w:id="114" w:name="_Toc338656"/>
      <w:bookmarkStart w:id="115" w:name="_Toc1379642"/>
      <w:bookmarkStart w:id="116" w:name="_Toc2071034"/>
      <w:bookmarkStart w:id="117" w:name="_Toc11316584"/>
      <w:bookmarkStart w:id="118" w:name="_Toc13479250"/>
      <w:bookmarkStart w:id="119" w:name="_Toc13479884"/>
      <w:bookmarkStart w:id="120" w:name="_Toc13480933"/>
      <w:bookmarkStart w:id="121" w:name="_Toc15894291"/>
      <w:bookmarkStart w:id="122" w:name="_Toc15988538"/>
      <w:bookmarkStart w:id="123" w:name="_Toc16504413"/>
      <w:bookmarkStart w:id="124" w:name="_Toc29986704"/>
      <w:r w:rsidRPr="00094A5D">
        <w:rPr>
          <w:rFonts w:ascii="Arial" w:hAnsi="Arial" w:cs="Arial"/>
          <w:b w:val="0"/>
          <w:color w:val="B35E06" w:themeColor="accent1" w:themeShade="BF"/>
        </w:rPr>
        <w:t>SEMANARIO JUDICIAL DE LA FEDERACIÓN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18400E" w:rsidRPr="00094A5D" w:rsidRDefault="0018400E" w:rsidP="0018400E"/>
    <w:p w:rsidR="0018400E" w:rsidRPr="00A91C82" w:rsidRDefault="0018400E" w:rsidP="0018400E">
      <w:pPr>
        <w:spacing w:after="0" w:line="240" w:lineRule="auto"/>
        <w:jc w:val="center"/>
        <w:rPr>
          <w:rFonts w:ascii="Arial" w:hAnsi="Arial" w:cs="Arial"/>
          <w:szCs w:val="24"/>
        </w:rPr>
      </w:pPr>
      <w:bookmarkStart w:id="125" w:name="_Toc525808458"/>
      <w:bookmarkStart w:id="126" w:name="_Toc525808295"/>
      <w:bookmarkStart w:id="127" w:name="_Toc525683590"/>
      <w:bookmarkStart w:id="128" w:name="_Toc524947301"/>
      <w:bookmarkStart w:id="129" w:name="_Toc530503785"/>
      <w:bookmarkEnd w:id="103"/>
      <w:bookmarkEnd w:id="104"/>
      <w:bookmarkEnd w:id="105"/>
      <w:bookmarkEnd w:id="106"/>
      <w:bookmarkEnd w:id="107"/>
      <w:r w:rsidRPr="00A91C82">
        <w:rPr>
          <w:rFonts w:ascii="Arial" w:hAnsi="Arial" w:cs="Arial"/>
          <w:bCs/>
          <w:szCs w:val="24"/>
        </w:rPr>
        <w:t>(https://sjf.scjn.gob.mx/SJFSem/Paginas/SemanarioV5.aspx</w:t>
      </w:r>
      <w:bookmarkEnd w:id="125"/>
      <w:bookmarkEnd w:id="126"/>
      <w:bookmarkEnd w:id="127"/>
      <w:bookmarkEnd w:id="128"/>
      <w:r w:rsidRPr="00A91C82">
        <w:rPr>
          <w:rFonts w:ascii="Arial" w:hAnsi="Arial" w:cs="Arial"/>
          <w:bCs/>
          <w:szCs w:val="24"/>
        </w:rPr>
        <w:t>)</w:t>
      </w:r>
      <w:bookmarkEnd w:id="129"/>
    </w:p>
    <w:p w:rsidR="0018400E" w:rsidRDefault="0018400E" w:rsidP="0018400E">
      <w:pPr>
        <w:spacing w:after="0" w:line="240" w:lineRule="auto"/>
        <w:jc w:val="both"/>
        <w:rPr>
          <w:rFonts w:ascii="Arial" w:hAnsi="Arial" w:cs="Arial"/>
        </w:rPr>
      </w:pPr>
    </w:p>
    <w:p w:rsidR="0018400E" w:rsidRPr="00E97078" w:rsidRDefault="0018400E" w:rsidP="0018400E">
      <w:pPr>
        <w:spacing w:after="0" w:line="240" w:lineRule="auto"/>
        <w:jc w:val="both"/>
        <w:rPr>
          <w:rFonts w:ascii="Arial" w:hAnsi="Arial" w:cs="Arial"/>
        </w:rPr>
      </w:pPr>
    </w:p>
    <w:p w:rsidR="00087300" w:rsidRPr="00F4008C" w:rsidRDefault="00087300" w:rsidP="00F4008C">
      <w:pPr>
        <w:spacing w:after="0" w:line="240" w:lineRule="auto"/>
        <w:jc w:val="both"/>
        <w:rPr>
          <w:rFonts w:ascii="Arial" w:hAnsi="Arial" w:cs="Arial"/>
        </w:rPr>
      </w:pPr>
    </w:p>
    <w:sectPr w:rsidR="00087300" w:rsidRPr="00F4008C"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0C" w:rsidRDefault="009D3C0C">
      <w:pPr>
        <w:spacing w:after="0" w:line="240" w:lineRule="auto"/>
      </w:pPr>
      <w:r>
        <w:separator/>
      </w:r>
    </w:p>
  </w:endnote>
  <w:endnote w:type="continuationSeparator" w:id="0">
    <w:p w:rsidR="009D3C0C" w:rsidRDefault="009D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0C" w:rsidRDefault="009D3C0C">
      <w:pPr>
        <w:spacing w:after="0" w:line="240" w:lineRule="auto"/>
      </w:pPr>
      <w:r>
        <w:separator/>
      </w:r>
    </w:p>
  </w:footnote>
  <w:footnote w:type="continuationSeparator" w:id="0">
    <w:p w:rsidR="009D3C0C" w:rsidRDefault="009D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411E7EB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8400E"/>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8E4"/>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959EE"/>
    <w:rsid w:val="009C0993"/>
    <w:rsid w:val="009D3C0C"/>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22BA2"/>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81B99"/>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363F"/>
    <w:rsid w:val="00ED5C6C"/>
    <w:rsid w:val="00EF36A5"/>
    <w:rsid w:val="00EF506B"/>
    <w:rsid w:val="00F03FBE"/>
    <w:rsid w:val="00F067A8"/>
    <w:rsid w:val="00F355FF"/>
    <w:rsid w:val="00F3742A"/>
    <w:rsid w:val="00F4008C"/>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0BE7EC48-E25B-4B3C-BE0F-A69F8CBD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2020-01-14T20:46:00Z</dcterms:created>
  <dcterms:modified xsi:type="dcterms:W3CDTF">2020-01-15T19:18:00Z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